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exact" w:line="560" w:before="280" w:after="280"/>
        <w:jc w:val="center"/>
      </w:pPr>
      <w:r>
        <w:rPr>
          <w:rFonts w:ascii="彩虹粗仿宋" w:hAnsi="彩虹粗仿宋" w:eastAsia="彩虹粗仿宋"/>
          <w:b/>
          <w:sz w:val="36"/>
        </w:rPr>
        <w:t>常用合同模板库</w:t>
      </w:r>
    </w:p>
    <w:p>
      <w:pPr>
        <w:spacing w:lineRule="exact" w:line="560"/>
        <w:jc w:val="center"/>
      </w:pPr>
      <w:r>
        <w:rPr>
          <w:rFonts w:ascii="彩虹粗仿宋" w:hAnsi="彩虹粗仿宋" w:eastAsia="彩虹粗仿宋"/>
          <w:b w:val="0"/>
          <w:sz w:val="28"/>
        </w:rPr>
        <w:t>总目录与选用指引</w:t>
      </w:r>
    </w:p>
    <w:p>
      <w:pPr>
        <w:spacing w:lineRule="exact" w:line="560"/>
        <w:jc w:val="center"/>
      </w:pPr>
      <w:r>
        <w:rPr>
          <w:rFonts w:ascii="彩虹粗仿宋" w:hAnsi="彩虹粗仿宋" w:eastAsia="彩虹粗仿宋"/>
          <w:b w:val="0"/>
          <w:sz w:val="20"/>
        </w:rPr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本库收录市场经济领域常见合同 25 类、共 61 份示范文本。凡双方利益立场明显对立的合同，均分别提供两个立场版本：同一合同的两版在风险分配、付款节奏、验收标准、违约金设定、解除权配置上互为镜像。全部文本均已完成立场化改造：管辖条款统一约定于立场方住所地人民法院并删除仲裁选项，条款设计向立场方倾斜。实际使用时按己方身份直接选用，亦可将两版对照后折中协商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08"/>
        <w:gridCol w:w="2408"/>
        <w:gridCol w:w="2408"/>
        <w:gridCol w:w="2408"/>
      </w:tblGrid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/>
                <w:sz w:val="18"/>
              </w:rPr>
              <w:t>编号</w:t>
            </w:r>
          </w:p>
        </w:tc>
        <w:tc>
          <w:tcPr>
            <w:tcW w:type="dxa" w:w="2041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/>
                <w:sz w:val="18"/>
              </w:rPr>
              <w:t>合同名称</w:t>
            </w:r>
          </w:p>
        </w:tc>
        <w:tc>
          <w:tcPr>
            <w:tcW w:type="dxa" w:w="1928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/>
                <w:sz w:val="18"/>
              </w:rPr>
              <w:t>文本立场</w:t>
            </w:r>
          </w:p>
        </w:tc>
        <w:tc>
          <w:tcPr>
            <w:tcW w:type="dxa" w:w="3402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/>
                <w:sz w:val="18"/>
              </w:rPr>
              <w:t>主要适用情形</w:t>
            </w:r>
          </w:p>
        </w:tc>
      </w:tr>
      <w:tr>
        <w:tc>
          <w:tcPr>
            <w:tcW w:type="dxa" w:w="9632"/>
            <w:gridSpan w:val="4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/>
                <w:sz w:val="18"/>
              </w:rPr>
              <w:t>一、买卖与经销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01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买卖合同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买方立场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采购方购入货物，侧重验收异议期、质量保证与所有权保留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02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买卖合同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卖方立场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供应商售出货物，侧重先款后货、验收视为合格与违约金封顶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26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产品经销合同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供应商立场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生产方发展经销商，侧重回款、考核降级与窜货管控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27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产品经销合同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经销商立场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经销商取得经销权，侧重区域保护、返利量化与库存回购</w:t>
            </w:r>
          </w:p>
        </w:tc>
      </w:tr>
      <w:tr>
        <w:tc>
          <w:tcPr>
            <w:tcW w:type="dxa" w:w="9632"/>
            <w:gridSpan w:val="4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/>
                <w:sz w:val="18"/>
              </w:rPr>
              <w:t>二、借款与融资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03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借款合同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出借人立场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民间资金出借，侧重用途监管、提前到期与担保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04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借款合同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借款人立场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民间资金借入，侧重放款义务、提前还款与费用封顶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40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融资租赁合同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出租人立场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租赁公司开展设备融资租赁，侧重租金无条件支付与取回权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41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融资租赁合同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承租人立场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企业融资租入设备，侧重交付验收、索赔权受让与留购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42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保理合同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保理商立场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保理商受让应收账款，侧重追索权、通知与回购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43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保理合同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债权人立场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企业以应收账款融资，侧重放款时点、费率与超额返还</w:t>
            </w:r>
          </w:p>
        </w:tc>
      </w:tr>
      <w:tr>
        <w:tc>
          <w:tcPr>
            <w:tcW w:type="dxa" w:w="9632"/>
            <w:gridSpan w:val="4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/>
                <w:sz w:val="18"/>
              </w:rPr>
              <w:t>三、租赁与物业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05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房屋租赁合同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出租人立场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出租房屋，侧重押金扣除、递增与腾退责任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06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房屋租赁合同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承租人立场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承租房屋，侧重维修响应、押金退还与优先承租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54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物业服务合同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业主方立场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业主选聘物业，侧重标准量化、账目公开与公共收益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55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物业服务合同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物业服务人立场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物业承接项目，侧重收费保障、责任边界与调价</w:t>
            </w:r>
          </w:p>
        </w:tc>
      </w:tr>
      <w:tr>
        <w:tc>
          <w:tcPr>
            <w:tcW w:type="dxa" w:w="9632"/>
            <w:gridSpan w:val="4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/>
                <w:sz w:val="18"/>
              </w:rPr>
              <w:t>四、劳动与劳务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07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劳动合同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用人单位立场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企业招用员工，含录用条件、调岗与解除规则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08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劳动合同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劳动者立场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劳动者入职，侧重工资构成、加班费与经济补偿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58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劳务合同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接受劳务方立场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单位或个人使用民事劳务，非劳动关系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59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劳务合同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提供劳务方立场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个人提供劳务，侧重报酬、安全与结算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60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劳动合同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公司用工专版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公司直接招用员工的完整文本：录用条件、调岗授权、竞业启动机制齐备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61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劳务合同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公司用工专版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公司使用民事劳务的合规文本：成果导向、风险分配与劳动关系隔离</w:t>
            </w:r>
          </w:p>
        </w:tc>
      </w:tr>
      <w:tr>
        <w:tc>
          <w:tcPr>
            <w:tcW w:type="dxa" w:w="9632"/>
            <w:gridSpan w:val="4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/>
                <w:sz w:val="18"/>
              </w:rPr>
              <w:t>五、承揽与建设工程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09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承揽合同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定作人立场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委托加工定作，侧重验收标准与任意解除权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10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承揽合同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承揽人立场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承接加工业务，侧重预付款、验收视为通过与留置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11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建设工程施工合同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发包人立场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工程发包，侧重变更签证程序、结算审核与质保金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12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建设工程施工合同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承包人立场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工程承包，侧重工期顺延、进度款与优先受偿权</w:t>
            </w:r>
          </w:p>
        </w:tc>
      </w:tr>
      <w:tr>
        <w:tc>
          <w:tcPr>
            <w:tcW w:type="dxa" w:w="9632"/>
            <w:gridSpan w:val="4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/>
                <w:sz w:val="18"/>
              </w:rPr>
              <w:t>六、公司与股权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13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股权转让合同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转让方立场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股东转让股权，侧重先款后股与或有负债隔离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14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股权转让合同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受让方立场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受让股权，侧重陈述保证、尾款抵扣与解除权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48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增资扩股协议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目标公司及原股东立场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公司引入投资，侧重交割条件与反稀释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49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增资扩股协议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投资方立场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投资入股，侧重对赌回购、董事席位与信息权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50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股权代持协议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实际出资人立场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隐名出资，侧重股权归属确认与显名路径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51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股权代持协议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名义股东立场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代他人持股，侧重免责、补偿与辞任权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25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合伙经营协议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通用中立版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二人以上合伙经营，附连带责任风险提示</w:t>
            </w:r>
          </w:p>
        </w:tc>
      </w:tr>
      <w:tr>
        <w:tc>
          <w:tcPr>
            <w:tcW w:type="dxa" w:w="9632"/>
            <w:gridSpan w:val="4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/>
                <w:sz w:val="18"/>
              </w:rPr>
              <w:t>七、技术与知识产权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15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技术开发合同（委托开发）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委托方立场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委托研发，侧重需求锁定、验收与成果归属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16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技术开发合同（委托开发）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受托方立场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承接研发，侧重变更加价、分阶段付款与责任上限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34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商标使用许可合同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许可方立场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许可他人使用商标，侧重品质控制与审计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35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商标使用许可合同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被许可方立场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取得商标许可，侧重独占性、维权义务与续展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36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著作权许可使用合同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许可方立场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授权使用作品，侧重权利逐项许可与改编控制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37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著作权许可使用合同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被许可方立场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取得作品许可，侧重权利瑕疵担保与库存消化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38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商业特许经营合同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特许人立场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开展加盟，侧重费用预付、督导处罚与竞业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39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商业特许经营合同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被特许人立场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加盟开店，侧重信息披露、冷静期与区域保护</w:t>
            </w:r>
          </w:p>
        </w:tc>
      </w:tr>
      <w:tr>
        <w:tc>
          <w:tcPr>
            <w:tcW w:type="dxa" w:w="9632"/>
            <w:gridSpan w:val="4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/>
                <w:sz w:val="18"/>
              </w:rPr>
              <w:t>八、担保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17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保证合同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债权人立场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接受保证担保，侧重连带责任、保证期间与范围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18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保证合同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保证人立场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提供保证，侧重期间缩短、范围封顶与追偿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19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抵押合同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抵押权人立场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接受抵押担保，侧重登记、转让限制与实现程序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20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抵押合同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抵押人立场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提供抵押，侧重使用收益、转让自由与注销义务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44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质押合同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质权人立场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接受质押担保，侧重交付登记、孳息与实现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45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质押合同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出质人立场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提供质押，侧重担保上限、禁止转质与返还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46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债权转让协议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受让人立场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受让债权，侧重真实性担保、回购与资料移交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47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债权转让协议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让与人立场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出让债权，侧重现状转让、免责与对价前置</w:t>
            </w:r>
          </w:p>
        </w:tc>
      </w:tr>
      <w:tr>
        <w:tc>
          <w:tcPr>
            <w:tcW w:type="dxa" w:w="9632"/>
            <w:gridSpan w:val="4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/>
                <w:sz w:val="18"/>
              </w:rPr>
              <w:t>九、服务与中介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28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委托合同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委托人立场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授权他人处理事务，侧重权限收紧与转委托禁止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29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委托合同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受托人立场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接受委托，侧重报酬前置、垫付与解除补偿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30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中介合同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委托人立场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委托中介促成交易，侧重跳单控制与费用封顶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31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中介合同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中介人立场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提供中介服务，侧重独家期间、报酬基数与必要费用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32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咨询服务合同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委托方立场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采购咨询服务，侧重成果可交付与知识产权归属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33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咨询服务合同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顾问方立场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提供咨询服务，侧重范围边界、变更加价与责任上限</w:t>
            </w:r>
          </w:p>
        </w:tc>
      </w:tr>
      <w:tr>
        <w:tc>
          <w:tcPr>
            <w:tcW w:type="dxa" w:w="9632"/>
            <w:gridSpan w:val="4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/>
                <w:sz w:val="18"/>
              </w:rPr>
              <w:t>十、运输与仓储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21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货物运输合同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托运人立场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委托运输，侧重时限、货损赔偿与留置限制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22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货物运输合同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承运人立场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承运货物，侧重运费、申报不实免责与赔偿限额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56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仓储合同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存货人立场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委托存储，侧重储存条件、赔偿标准与留置限制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57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仓储合同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保管人立场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提供仓储，侧重包装责任、损耗免责与逾期处置</w:t>
            </w:r>
          </w:p>
        </w:tc>
      </w:tr>
      <w:tr>
        <w:tc>
          <w:tcPr>
            <w:tcW w:type="dxa" w:w="9632"/>
            <w:gridSpan w:val="4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/>
                <w:sz w:val="18"/>
              </w:rPr>
              <w:t>十一、房地产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52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商品房买卖合同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买受人立场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购买商品房，侧重交付条件、面积误差与办证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53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商品房买卖合同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出卖人立场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销售商品房，侧重按揭协助、逾期付款与免责</w:t>
            </w:r>
          </w:p>
        </w:tc>
      </w:tr>
      <w:tr>
        <w:tc>
          <w:tcPr>
            <w:tcW w:type="dxa" w:w="9632"/>
            <w:gridSpan w:val="4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/>
                <w:sz w:val="18"/>
              </w:rPr>
              <w:t>十二、保密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23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保密协议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披露方立场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披露商业秘密，侧重范围宽、期限长与违约金</w:t>
            </w:r>
          </w:p>
        </w:tc>
      </w:tr>
      <w:tr>
        <w:tc>
          <w:tcPr>
            <w:tcW w:type="dxa" w:w="1474"/>
          </w:tcPr>
          <w:p>
            <w:pPr>
              <w:spacing w:lineRule="exact" w:line="360"/>
              <w:jc w:val="center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24</w:t>
            </w:r>
          </w:p>
        </w:tc>
        <w:tc>
          <w:tcPr>
            <w:tcW w:type="dxa" w:w="2041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保密协议</w:t>
            </w:r>
          </w:p>
        </w:tc>
        <w:tc>
          <w:tcPr>
            <w:tcW w:type="dxa" w:w="1928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接收方立场</w:t>
            </w:r>
          </w:p>
        </w:tc>
        <w:tc>
          <w:tcPr>
            <w:tcW w:type="dxa" w:w="3402"/>
          </w:tcPr>
          <w:p>
            <w:pPr>
              <w:spacing w:lineRule="exact" w:line="360"/>
            </w:pPr>
            <w:r>
              <w:rPr>
                <w:rFonts w:ascii="彩虹粗仿宋" w:hAnsi="彩虹粗仿宋" w:eastAsia="彩虹粗仿宋"/>
                <w:b w:val="0"/>
                <w:sz w:val="18"/>
              </w:rPr>
              <w:t>接收保密信息，侧重定义收窄、期限封顶与责任限额</w:t>
            </w:r>
          </w:p>
        </w:tc>
      </w:tr>
    </w:tbl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 w:before="280" w:after="280"/>
      </w:pPr>
      <w:r>
        <w:rPr>
          <w:rFonts w:ascii="彩虹粗仿宋" w:hAnsi="彩虹粗仿宋" w:eastAsia="彩虹粗仿宋"/>
          <w:b/>
          <w:sz w:val="30"/>
        </w:rPr>
        <w:t>使用须知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一、立场化改造。本库全部文本均按“一方立场”起草：凡双方利益对立的合同，均提供两个互为镜像的立场版本。各文本在付款与交付顺序、验收与异议期限、违约责任轻重、解除权分配、责任限额、举证责任、维权费用承担等方面，均向立场方倾斜；对可能被司法酌减或调整的极限条款，已在（注：）中标明谈判让步位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二、管辖安排。除依法不得协议变更者外，各文本均已将管辖法院约定于立场方住所地，并删除仲裁选项，避免“或裁或审”约定引发管辖争议。三类例外：①房屋租赁合同、建设工程施工合同依《民事诉讼法》第三十四条及《民诉法解释》第二十八条属不动产专属管辖，只能约定房屋或工程所在地；②劳动合同的争议管辖由《劳动争议调解仲裁法》第二十一条法定，不得协议变更；③合伙经营协议为通用中立文本，约定合伙经营场所所在地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三、填写与删注。各文本中“____”与“【　】”为待填写处，使用前须逐项补齐；“（注：……）”为执业提示，仅供订立时参考，正式签署文本应予删除。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四、法律依据。各文本依《中华人民共和国民法典》及《劳动合同法》《公司法》《著作权法》《商标法》《商业特许经营管理条例》《反垄断法》《民事诉讼法》等现行法律与司法解释起草。涉及利率上限、试用期上限、质保金比例、定金限额、保证期间、流押流质禁止、建设工程价款优先受偿权等强制性规定的，均按现行规范表述，并在（注：）中说明不可突破的理由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五、文本规范。全文标点统一使用中文符号（，。；：？！“”‘’（）《》、——），引号一律为中文双引号，条款编号使用“第X条”与“X.1”两级。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六、适用范围。建设工程大型项目建议采用住房和城乡建设部GF-2017-0201示范文本并另行专项起草；涉国有资产、上市公司、跨境交易等重大事项，应由执业律师根据交易背景审查修改。本库文本为一般性参考，不构成针对具体个案的法律意见。</w:t>
      </w:r>
    </w:p>
    <w:sectPr w:rsidR="00FC693F" w:rsidRPr="0006063C" w:rsidSect="00034616">
      <w:pgSz w:w="12240" w:h="15840"/>
      <w:pgMar w:top="1417" w:right="1247" w:bottom="141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